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鄂托克旗</w:t>
      </w:r>
      <w:r>
        <w:rPr>
          <w:rFonts w:hint="eastAsia" w:ascii="方正小标宋简体" w:eastAsia="方正小标宋简体"/>
          <w:sz w:val="44"/>
          <w:szCs w:val="44"/>
        </w:rPr>
        <w:t>事业单位法人“双随机、一公开”抽查结果公示表</w:t>
      </w:r>
    </w:p>
    <w:p>
      <w:pPr>
        <w:spacing w:line="560" w:lineRule="exact"/>
        <w:jc w:val="center"/>
        <w:rPr>
          <w:rFonts w:ascii="方正小标宋简体" w:eastAsia="方正小标宋简体"/>
          <w:szCs w:val="21"/>
        </w:rPr>
      </w:pPr>
    </w:p>
    <w:tbl>
      <w:tblPr>
        <w:tblW w:w="14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834"/>
        <w:gridCol w:w="2397"/>
        <w:gridCol w:w="3222"/>
        <w:gridCol w:w="2349"/>
        <w:gridCol w:w="2349"/>
      </w:tblGrid>
      <w:tr>
        <w:tc>
          <w:tcPr>
            <w:tcW w:w="954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2834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统一社会信用代码</w:t>
            </w: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  <w:tc>
          <w:tcPr>
            <w:tcW w:w="3222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抽查内容</w:t>
            </w:r>
          </w:p>
        </w:tc>
        <w:tc>
          <w:tcPr>
            <w:tcW w:w="2349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存在问题</w:t>
            </w:r>
          </w:p>
        </w:tc>
        <w:tc>
          <w:tcPr>
            <w:tcW w:w="2349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处理意见</w:t>
            </w:r>
          </w:p>
        </w:tc>
      </w:tr>
      <w:tr>
        <w:tc>
          <w:tcPr>
            <w:tcW w:w="95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834" w:type="dxa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12152725461121200W</w:t>
            </w:r>
          </w:p>
        </w:tc>
        <w:tc>
          <w:tcPr>
            <w:tcW w:w="2397" w:type="dxa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鄂托克旗文学艺术界联合会</w:t>
            </w:r>
          </w:p>
        </w:tc>
        <w:tc>
          <w:tcPr>
            <w:tcW w:w="3222" w:type="dxa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事业单位法人登记事项和2017年年度报告情况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法人证书正本未悬挂在单位醒目位置。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法人证书正本悬挂问题已要求其现场整改。</w:t>
            </w:r>
          </w:p>
        </w:tc>
      </w:tr>
      <w:tr>
        <w:tc>
          <w:tcPr>
            <w:tcW w:w="95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12150624MB01998145</w:t>
            </w:r>
          </w:p>
        </w:tc>
        <w:tc>
          <w:tcPr>
            <w:tcW w:w="2397" w:type="dxa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鄂托克旗煤炭安全生产监管综合执法局</w:t>
            </w:r>
          </w:p>
        </w:tc>
        <w:tc>
          <w:tcPr>
            <w:tcW w:w="3222" w:type="dxa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事业单位法人登记事项和2017年年度报告情况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住所、举办单位变更后未及时进行变更登记。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住所、举办单位问题已通知其限期变更。</w:t>
            </w:r>
          </w:p>
        </w:tc>
      </w:tr>
      <w:tr>
        <w:tc>
          <w:tcPr>
            <w:tcW w:w="95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834" w:type="dxa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12152725461127872P</w:t>
            </w:r>
          </w:p>
        </w:tc>
        <w:tc>
          <w:tcPr>
            <w:tcW w:w="2397" w:type="dxa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鄂托克旗棋盘井实验小学</w:t>
            </w:r>
          </w:p>
        </w:tc>
        <w:tc>
          <w:tcPr>
            <w:tcW w:w="3222" w:type="dxa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事业单位法人登记事项和2017年年度报告情况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住所标注不详细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已通知其限期变更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6838" w:h="11906" w:orient="landscape"/>
      <w:pgMar w:top="1588" w:right="1361" w:bottom="1418" w:left="1588" w:header="851" w:footer="992" w:gutter="0"/>
      <w:pgNumType w:fmt="numberInDash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Calibri">
    <w:altName w:val="Segoe UI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PAGE   \* MERGEFORMAT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141</Words>
  <Characters>810</Characters>
  <Lines>6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2018-06-08T09:08:00Z</dcterms:created>
  <dc:creator>k</dc:creator>
  <dcterms:modified xsi:type="dcterms:W3CDTF">2019-10-29T20:37:10Z</dcterms:modified>
  <dc:title>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